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E280E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PLANEJAMENTO REDES SOCIAIS — JUNHO/2026</w:t>
      </w:r>
    </w:p>
    <w:p w14:paraId="5503663E" w14:textId="77777777" w:rsidR="002573FC" w:rsidRPr="002573FC" w:rsidRDefault="002573FC" w:rsidP="002573FC">
      <w:pPr>
        <w:rPr>
          <w:caps/>
        </w:rPr>
      </w:pPr>
      <w:hyperlink r:id="rId5" w:tgtFrame="_blank" w:history="1">
        <w:r w:rsidRPr="002573FC">
          <w:rPr>
            <w:rStyle w:val="Hyperlink"/>
            <w:caps/>
            <w:color w:val="auto"/>
            <w:u w:val="none"/>
          </w:rPr>
          <w:t>Rama Advogados</w:t>
        </w:r>
      </w:hyperlink>
    </w:p>
    <w:p w14:paraId="7E764B76" w14:textId="77777777" w:rsidR="002573FC" w:rsidRPr="002573FC" w:rsidRDefault="00000000" w:rsidP="002573FC">
      <w:r>
        <w:pict w14:anchorId="4BC124D6">
          <v:rect id="_x0000_i1025" style="width:0;height:1.5pt" o:hralign="center" o:hrstd="t" o:hr="t" fillcolor="#a0a0a0" stroked="f"/>
        </w:pict>
      </w:r>
    </w:p>
    <w:p w14:paraId="1B39E023" w14:textId="77777777" w:rsidR="002573FC" w:rsidRPr="002573FC" w:rsidRDefault="002573FC" w:rsidP="002573FC">
      <w:pPr>
        <w:rPr>
          <w:b/>
          <w:bCs/>
        </w:rPr>
      </w:pPr>
      <w:commentRangeStart w:id="0"/>
      <w:r w:rsidRPr="002573FC">
        <w:rPr>
          <w:b/>
          <w:bCs/>
        </w:rPr>
        <w:t>02/06 (Terça) — Recuperação de crédito e inteligência preditiva</w:t>
      </w:r>
      <w:commentRangeEnd w:id="0"/>
      <w:r w:rsidR="004D439A" w:rsidRPr="002573FC">
        <w:rPr>
          <w:rStyle w:val="Refdecomentrio"/>
          <w:b/>
          <w:bCs/>
          <w:sz w:val="22"/>
          <w:szCs w:val="22"/>
        </w:rPr>
        <w:commentReference w:id="0"/>
      </w:r>
    </w:p>
    <w:p w14:paraId="16585258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Carrossel</w:t>
      </w:r>
    </w:p>
    <w:p w14:paraId="555BB337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1 — Capa</w:t>
      </w:r>
    </w:p>
    <w:p w14:paraId="39F71621" w14:textId="77777777" w:rsidR="002573FC" w:rsidRPr="002573FC" w:rsidRDefault="002573FC" w:rsidP="002573FC">
      <w:r w:rsidRPr="002573FC">
        <w:t>Inteligência preditiva na recuperação de crédito.</w:t>
      </w:r>
      <w:r w:rsidRPr="002573FC">
        <w:br/>
        <w:t>Dados, estratégia e previsibilidade.</w:t>
      </w:r>
    </w:p>
    <w:p w14:paraId="5718BEF6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2</w:t>
      </w:r>
    </w:p>
    <w:p w14:paraId="6B62CE70" w14:textId="77777777" w:rsidR="002573FC" w:rsidRPr="002573FC" w:rsidRDefault="002573FC" w:rsidP="002573FC">
      <w:r w:rsidRPr="002573FC">
        <w:t>A gestão de carteiras inadimplidas passa por uma transformação orientada por dados e análise preditiva.</w:t>
      </w:r>
    </w:p>
    <w:p w14:paraId="48968E2E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3</w:t>
      </w:r>
    </w:p>
    <w:p w14:paraId="52D95F57" w14:textId="77777777" w:rsidR="002573FC" w:rsidRPr="002573FC" w:rsidRDefault="002573FC" w:rsidP="002573FC">
      <w:r w:rsidRPr="002573FC">
        <w:t>1️</w:t>
      </w:r>
      <w:r w:rsidRPr="002573FC">
        <w:rPr>
          <w:rFonts w:ascii="Segoe UI Symbol" w:hAnsi="Segoe UI Symbol" w:cs="Segoe UI Symbol"/>
        </w:rPr>
        <w:t>⃣</w:t>
      </w:r>
      <w:r w:rsidRPr="002573FC">
        <w:t xml:space="preserve"> Priorização estratégica</w:t>
      </w:r>
      <w:r w:rsidRPr="002573FC">
        <w:br/>
        <w:t>Modelos analíticos permitem identificar padrões de comportamento e direcionar ações com maior assertividade.</w:t>
      </w:r>
    </w:p>
    <w:p w14:paraId="782B6445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4</w:t>
      </w:r>
    </w:p>
    <w:p w14:paraId="33B298D6" w14:textId="77777777" w:rsidR="002573FC" w:rsidRPr="002573FC" w:rsidRDefault="002573FC" w:rsidP="002573FC">
      <w:r w:rsidRPr="002573FC">
        <w:t>2️</w:t>
      </w:r>
      <w:r w:rsidRPr="002573FC">
        <w:rPr>
          <w:rFonts w:ascii="Segoe UI Symbol" w:hAnsi="Segoe UI Symbol" w:cs="Segoe UI Symbol"/>
        </w:rPr>
        <w:t>⃣</w:t>
      </w:r>
      <w:r w:rsidRPr="002573FC">
        <w:t xml:space="preserve"> Eficiência operacional</w:t>
      </w:r>
      <w:r w:rsidRPr="002573FC">
        <w:br/>
        <w:t>A integração entre jurídico, tecnologia e análise de risco reduz custos e amplia a efetividade da recuperação.</w:t>
      </w:r>
    </w:p>
    <w:p w14:paraId="659E27A0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5 — Encerramento</w:t>
      </w:r>
    </w:p>
    <w:p w14:paraId="7F6315D0" w14:textId="77777777" w:rsidR="002573FC" w:rsidRPr="002573FC" w:rsidRDefault="002573FC" w:rsidP="002573FC">
      <w:r w:rsidRPr="002573FC">
        <w:t>A recuperação de crédito contemporânea exige decisões baseadas em inteligência, previsibilidade e governança.</w:t>
      </w:r>
    </w:p>
    <w:p w14:paraId="1748D3F6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5FF84088" w14:textId="77777777" w:rsidR="002573FC" w:rsidRPr="002573FC" w:rsidRDefault="002573FC" w:rsidP="002573FC">
      <w:r w:rsidRPr="002573FC">
        <w:t>A evolução tecnológica vem ampliando a capacidade analítica aplicada à recuperação de crédito e à gestão de carteiras complexas.</w:t>
      </w:r>
      <w:r w:rsidRPr="002573FC">
        <w:br/>
        <w:t>Ferramentas de inteligência preditiva permitem leitura mais precisa de cenários, identificação de padrões de comportamento e definição de estratégias mais eficientes.</w:t>
      </w:r>
      <w:r w:rsidRPr="002573FC">
        <w:br/>
        <w:t>Mais do que volume processual, o ambiente atual exige capacidade analítica, integração de dados e visão estratégica na condução das operações.</w:t>
      </w:r>
    </w:p>
    <w:p w14:paraId="51D09C2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4B02D8C9" w14:textId="77777777" w:rsidR="002573FC" w:rsidRPr="002573FC" w:rsidRDefault="002573FC" w:rsidP="002573FC">
      <w:r w:rsidRPr="002573FC">
        <w:t>#ramaadvogados #recuperacaodecredito #governanca #inteligenciajuridica #sistemafinanceiro</w:t>
      </w:r>
    </w:p>
    <w:p w14:paraId="47436A57" w14:textId="77777777" w:rsidR="002573FC" w:rsidRPr="002573FC" w:rsidRDefault="00000000" w:rsidP="002573FC">
      <w:r>
        <w:pict w14:anchorId="4BAEF611">
          <v:rect id="_x0000_i1026" style="width:0;height:1.5pt" o:hralign="center" o:hrstd="t" o:hr="t" fillcolor="#a0a0a0" stroked="f"/>
        </w:pict>
      </w:r>
    </w:p>
    <w:p w14:paraId="005364D9" w14:textId="77777777" w:rsidR="002573FC" w:rsidRPr="002573FC" w:rsidRDefault="002573FC" w:rsidP="002573FC">
      <w:pPr>
        <w:rPr>
          <w:b/>
          <w:bCs/>
        </w:rPr>
      </w:pPr>
      <w:commentRangeStart w:id="1"/>
      <w:r w:rsidRPr="002573FC">
        <w:rPr>
          <w:b/>
          <w:bCs/>
        </w:rPr>
        <w:t>05/06 (Quinta) — Dia Mundial do Meio Ambiente</w:t>
      </w:r>
      <w:commentRangeEnd w:id="1"/>
      <w:r w:rsidR="00AE2EC0" w:rsidRPr="002573FC">
        <w:rPr>
          <w:rStyle w:val="Refdecomentrio"/>
          <w:b/>
          <w:bCs/>
          <w:sz w:val="22"/>
          <w:szCs w:val="22"/>
        </w:rPr>
        <w:commentReference w:id="1"/>
      </w:r>
    </w:p>
    <w:p w14:paraId="1A509920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Card</w:t>
      </w:r>
    </w:p>
    <w:p w14:paraId="210F0E4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Headline</w:t>
      </w:r>
    </w:p>
    <w:p w14:paraId="59A2D392" w14:textId="77777777" w:rsidR="002573FC" w:rsidRPr="002573FC" w:rsidRDefault="002573FC" w:rsidP="002573FC">
      <w:r w:rsidRPr="002573FC">
        <w:lastRenderedPageBreak/>
        <w:t>Sustentabilidade também é uma decisão institucional.</w:t>
      </w:r>
    </w:p>
    <w:p w14:paraId="569B7309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249908CC" w14:textId="77777777" w:rsidR="002573FC" w:rsidRPr="002573FC" w:rsidRDefault="002573FC" w:rsidP="002573FC">
      <w:r w:rsidRPr="002573FC">
        <w:t>O Dia Mundial do Meio Ambiente reforça a importância de decisões responsáveis e sustentáveis em todos os ambientes institucionais.</w:t>
      </w:r>
      <w:r w:rsidRPr="002573FC">
        <w:br/>
        <w:t>A construção de organizações sólidas também passa pelo compromisso com práticas conscientes, responsabilidade coletiva e visão de longo prazo.</w:t>
      </w:r>
      <w:r w:rsidRPr="002573FC">
        <w:br/>
        <w:t>Sustentabilidade e governança caminham juntas na construção de relações mais equilibradas e resilientes.</w:t>
      </w:r>
    </w:p>
    <w:p w14:paraId="1DF33C80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1764AB6E" w14:textId="77777777" w:rsidR="002573FC" w:rsidRPr="002573FC" w:rsidRDefault="002573FC" w:rsidP="002573FC">
      <w:r w:rsidRPr="002573FC">
        <w:t>#ramaadvogados #meioambiente #sustentabilidade #governanca #responsabilidadeinstitucional</w:t>
      </w:r>
    </w:p>
    <w:p w14:paraId="0C1165E5" w14:textId="77777777" w:rsidR="002573FC" w:rsidRPr="002573FC" w:rsidRDefault="00000000" w:rsidP="002573FC">
      <w:r>
        <w:pict w14:anchorId="1222B93A">
          <v:rect id="_x0000_i1027" style="width:0;height:1.5pt" o:hralign="center" o:hrstd="t" o:hr="t" fillcolor="#a0a0a0" stroked="f"/>
        </w:pict>
      </w:r>
    </w:p>
    <w:p w14:paraId="127EA7E2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 xml:space="preserve">09/06 (Terça) — </w:t>
      </w:r>
      <w:commentRangeStart w:id="2"/>
      <w:r w:rsidRPr="002573FC">
        <w:rPr>
          <w:b/>
          <w:bCs/>
        </w:rPr>
        <w:t>Jurisprudência e garantias fiduciárias</w:t>
      </w:r>
    </w:p>
    <w:p w14:paraId="1FFB4A97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Reels</w:t>
      </w:r>
    </w:p>
    <w:p w14:paraId="06695342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Headline (capa)</w:t>
      </w:r>
    </w:p>
    <w:p w14:paraId="11ABBAA2" w14:textId="77777777" w:rsidR="002573FC" w:rsidRPr="002573FC" w:rsidRDefault="002573FC" w:rsidP="002573FC">
      <w:r w:rsidRPr="002573FC">
        <w:t>Garantias fiduciárias e segurança nas operações de crédito.</w:t>
      </w:r>
    </w:p>
    <w:p w14:paraId="0423A069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65CDA187" w14:textId="77777777" w:rsidR="002573FC" w:rsidRPr="002573FC" w:rsidRDefault="002573FC" w:rsidP="002573FC">
      <w:r w:rsidRPr="002573FC">
        <w:t>As garantias fiduciárias permanecem como instrumentos centrais para estabilidade e previsibilidade das operações financeiras.</w:t>
      </w:r>
      <w:r w:rsidRPr="002573FC">
        <w:br/>
        <w:t>A consolidação jurisprudencial sobre busca e apreensão, mora contratual e efetividade das garantias contribui para maior segurança jurídica no mercado de crédito.</w:t>
      </w:r>
      <w:r w:rsidRPr="002573FC">
        <w:br/>
        <w:t>A previsibilidade das decisões judiciais reduz riscos operacionais e fortalece a confiança nas relações contratuais.</w:t>
      </w:r>
    </w:p>
    <w:p w14:paraId="1CBA9987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3DA08F95" w14:textId="77777777" w:rsidR="002573FC" w:rsidRPr="002573FC" w:rsidRDefault="002573FC" w:rsidP="002573FC">
      <w:r w:rsidRPr="002573FC">
        <w:t>#ramaadvogados #direitobancario #garantiasfiduciarias #segurancajuridica #credito</w:t>
      </w:r>
      <w:commentRangeEnd w:id="2"/>
      <w:r w:rsidR="00AE2EC0" w:rsidRPr="002573FC">
        <w:rPr>
          <w:rStyle w:val="Refdecomentrio"/>
          <w:sz w:val="22"/>
          <w:szCs w:val="22"/>
        </w:rPr>
        <w:commentReference w:id="2"/>
      </w:r>
    </w:p>
    <w:p w14:paraId="53B1222A" w14:textId="77777777" w:rsidR="002573FC" w:rsidRPr="002573FC" w:rsidRDefault="00000000" w:rsidP="002573FC">
      <w:r>
        <w:pict w14:anchorId="5928B1BF">
          <v:rect id="_x0000_i1028" style="width:0;height:1.5pt" o:hralign="center" o:hrstd="t" o:hr="t" fillcolor="#a0a0a0" stroked="f"/>
        </w:pict>
      </w:r>
    </w:p>
    <w:p w14:paraId="4D7899B2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 xml:space="preserve">11/06 (Quinta) — </w:t>
      </w:r>
      <w:commentRangeStart w:id="3"/>
      <w:r w:rsidRPr="002573FC">
        <w:rPr>
          <w:b/>
          <w:bCs/>
        </w:rPr>
        <w:t>Tecnologia aplicada ao contencioso</w:t>
      </w:r>
    </w:p>
    <w:p w14:paraId="26AD25D8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Card</w:t>
      </w:r>
    </w:p>
    <w:p w14:paraId="5B91A3B0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Headline</w:t>
      </w:r>
    </w:p>
    <w:p w14:paraId="7D417711" w14:textId="77777777" w:rsidR="002573FC" w:rsidRPr="002573FC" w:rsidRDefault="002573FC" w:rsidP="002573FC">
      <w:r w:rsidRPr="002573FC">
        <w:t>Automação jurídica e eficiência operacional.</w:t>
      </w:r>
    </w:p>
    <w:p w14:paraId="5381C91A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350CC316" w14:textId="77777777" w:rsidR="002573FC" w:rsidRPr="002573FC" w:rsidRDefault="002573FC" w:rsidP="002573FC">
      <w:r w:rsidRPr="002573FC">
        <w:t>A automação de rotinas jurídicas vem redefinindo a gestão do contencioso de grande volume.</w:t>
      </w:r>
      <w:r w:rsidRPr="002573FC">
        <w:br/>
        <w:t>Fluxos estruturados, análise de dados e integração tecnológica contribuem para maior eficiência operacional, controle estratégico e previsibilidade na tomada de decisões.</w:t>
      </w:r>
      <w:r w:rsidRPr="002573FC">
        <w:br/>
        <w:t>No ambiente corporativo, tecnologia aplicada ao jurídico deixou de ser diferencial e tornou-se parte da estrutura operacional das organizações.</w:t>
      </w:r>
    </w:p>
    <w:p w14:paraId="45A4F84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lastRenderedPageBreak/>
        <w:t>Hashtags</w:t>
      </w:r>
    </w:p>
    <w:p w14:paraId="64D4F0F0" w14:textId="77777777" w:rsidR="002573FC" w:rsidRPr="002573FC" w:rsidRDefault="002573FC" w:rsidP="002573FC">
      <w:r w:rsidRPr="002573FC">
        <w:t>#ramaadvogados #legaltech #contencioso #governanca #eficienciaoperacional</w:t>
      </w:r>
      <w:commentRangeEnd w:id="3"/>
      <w:r w:rsidR="0088754D" w:rsidRPr="002573FC">
        <w:rPr>
          <w:rStyle w:val="Refdecomentrio"/>
          <w:sz w:val="22"/>
          <w:szCs w:val="22"/>
        </w:rPr>
        <w:commentReference w:id="3"/>
      </w:r>
    </w:p>
    <w:p w14:paraId="582C15C8" w14:textId="77777777" w:rsidR="002573FC" w:rsidRPr="002573FC" w:rsidRDefault="00000000" w:rsidP="002573FC">
      <w:r>
        <w:pict w14:anchorId="0937D7C3">
          <v:rect id="_x0000_i1029" style="width:0;height:1.5pt" o:hralign="center" o:hrstd="t" o:hr="t" fillcolor="#a0a0a0" stroked="f"/>
        </w:pict>
      </w:r>
    </w:p>
    <w:p w14:paraId="2E4C7765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16/06 (Terça) — Compliance e prevenção de riscos</w:t>
      </w:r>
    </w:p>
    <w:p w14:paraId="468D1A15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Carrossel</w:t>
      </w:r>
    </w:p>
    <w:p w14:paraId="2E2E80E8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1 — Capa</w:t>
      </w:r>
    </w:p>
    <w:p w14:paraId="4913FFA0" w14:textId="77777777" w:rsidR="002573FC" w:rsidRPr="002573FC" w:rsidRDefault="002573FC" w:rsidP="002573FC">
      <w:r w:rsidRPr="002573FC">
        <w:t>Compliance e prevenção de riscos.</w:t>
      </w:r>
      <w:r w:rsidRPr="002573FC">
        <w:br/>
        <w:t>Estratégia além da conformidade.</w:t>
      </w:r>
    </w:p>
    <w:p w14:paraId="1F427192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2</w:t>
      </w:r>
    </w:p>
    <w:p w14:paraId="530BBCB7" w14:textId="77777777" w:rsidR="002573FC" w:rsidRPr="002573FC" w:rsidRDefault="002573FC" w:rsidP="002573FC">
      <w:r w:rsidRPr="002573FC">
        <w:t>Estruturas de compliance fortalecem a previsibilidade das operações e reduzem vulnerabilidades jurídicas.</w:t>
      </w:r>
    </w:p>
    <w:p w14:paraId="045387AF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3</w:t>
      </w:r>
    </w:p>
    <w:p w14:paraId="1388F7D4" w14:textId="77777777" w:rsidR="002573FC" w:rsidRPr="002573FC" w:rsidRDefault="002573FC" w:rsidP="002573FC">
      <w:r w:rsidRPr="002573FC">
        <w:t>1️</w:t>
      </w:r>
      <w:r w:rsidRPr="002573FC">
        <w:rPr>
          <w:rFonts w:ascii="Segoe UI Symbol" w:hAnsi="Segoe UI Symbol" w:cs="Segoe UI Symbol"/>
        </w:rPr>
        <w:t>⃣</w:t>
      </w:r>
      <w:r w:rsidRPr="002573FC">
        <w:t xml:space="preserve"> Mapeamento de riscos</w:t>
      </w:r>
      <w:r w:rsidRPr="002573FC">
        <w:br/>
        <w:t>A identificação preventiva de contingências reduz impactos operacionais e financeiros.</w:t>
      </w:r>
    </w:p>
    <w:p w14:paraId="08983CC9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4</w:t>
      </w:r>
    </w:p>
    <w:p w14:paraId="5360AA68" w14:textId="77777777" w:rsidR="002573FC" w:rsidRPr="002573FC" w:rsidRDefault="002573FC" w:rsidP="002573FC">
      <w:r w:rsidRPr="002573FC">
        <w:t>2️</w:t>
      </w:r>
      <w:r w:rsidRPr="002573FC">
        <w:rPr>
          <w:rFonts w:ascii="Segoe UI Symbol" w:hAnsi="Segoe UI Symbol" w:cs="Segoe UI Symbol"/>
        </w:rPr>
        <w:t>⃣</w:t>
      </w:r>
      <w:r w:rsidRPr="002573FC">
        <w:t xml:space="preserve"> Governança institucional</w:t>
      </w:r>
      <w:r w:rsidRPr="002573FC">
        <w:br/>
        <w:t>Processos claros e aderência regulatória fortalecem decisões estratégicas.</w:t>
      </w:r>
    </w:p>
    <w:p w14:paraId="3E764B3F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Card 5 — Encerramento</w:t>
      </w:r>
    </w:p>
    <w:p w14:paraId="5B318634" w14:textId="77777777" w:rsidR="002573FC" w:rsidRPr="002573FC" w:rsidRDefault="002573FC" w:rsidP="002573FC">
      <w:r w:rsidRPr="002573FC">
        <w:t>Compliance eficiente não atua apenas na correção de falhas, mas na construção de estabilidade institucional.</w:t>
      </w:r>
    </w:p>
    <w:p w14:paraId="15F65C5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2740910E" w14:textId="77777777" w:rsidR="002573FC" w:rsidRPr="002573FC" w:rsidRDefault="002573FC" w:rsidP="002573FC">
      <w:r w:rsidRPr="002573FC">
        <w:t>O compliance corporativo assume papel cada vez mais estratégico nas organizações.</w:t>
      </w:r>
      <w:r w:rsidRPr="002573FC">
        <w:br/>
        <w:t>Além da conformidade regulatória, estruturas preventivas bem organizadas contribuem para redução de riscos, fortalecimento da governança e maior segurança nas operações financeiras.</w:t>
      </w:r>
      <w:r w:rsidRPr="002573FC">
        <w:br/>
        <w:t>Em ambientes complexos, prevenção e previsibilidade são elementos essenciais para sustentabilidade institucional.</w:t>
      </w:r>
    </w:p>
    <w:p w14:paraId="730982B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4EE80B35" w14:textId="77777777" w:rsidR="002573FC" w:rsidRPr="002573FC" w:rsidRDefault="002573FC" w:rsidP="002573FC">
      <w:r w:rsidRPr="002573FC">
        <w:t>#ramaadvogados #compliance #governanca #segurancajuridica #direitobancario</w:t>
      </w:r>
    </w:p>
    <w:p w14:paraId="3702C599" w14:textId="77777777" w:rsidR="002573FC" w:rsidRPr="002573FC" w:rsidRDefault="00000000" w:rsidP="002573FC">
      <w:r>
        <w:pict w14:anchorId="3E5D127B">
          <v:rect id="_x0000_i1030" style="width:0;height:1.5pt" o:hralign="center" o:hrstd="t" o:hr="t" fillcolor="#a0a0a0" stroked="f"/>
        </w:pict>
      </w:r>
    </w:p>
    <w:p w14:paraId="00635428" w14:textId="2DB36CDD" w:rsidR="002573FC" w:rsidRPr="00695FCF" w:rsidRDefault="002573FC" w:rsidP="002573FC">
      <w:pPr>
        <w:rPr>
          <w:b/>
          <w:bCs/>
          <w:color w:val="EE0000"/>
        </w:rPr>
      </w:pPr>
      <w:r w:rsidRPr="002573FC">
        <w:rPr>
          <w:b/>
          <w:bCs/>
        </w:rPr>
        <w:t>18/06 (Quinta) — Campanha do Agasalho</w:t>
      </w:r>
      <w:r>
        <w:rPr>
          <w:b/>
          <w:bCs/>
        </w:rPr>
        <w:t xml:space="preserve"> </w:t>
      </w:r>
      <w:r w:rsidRPr="002573FC">
        <w:rPr>
          <w:b/>
          <w:bCs/>
          <w:highlight w:val="yellow"/>
        </w:rPr>
        <w:t>= Inicia dia 01 a 20/06?</w:t>
      </w:r>
      <w:r w:rsidR="00695FCF">
        <w:rPr>
          <w:b/>
          <w:bCs/>
        </w:rPr>
        <w:t xml:space="preserve"> </w:t>
      </w:r>
      <w:r w:rsidR="00695FCF" w:rsidRPr="00695FCF">
        <w:rPr>
          <w:b/>
          <w:bCs/>
          <w:color w:val="EE0000"/>
        </w:rPr>
        <w:t xml:space="preserve">Termina dia 27/05. Pretendemos ter fotos no na primeira semana de junho. </w:t>
      </w:r>
    </w:p>
    <w:p w14:paraId="7DA02046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Card ou Reels (dependendo do material interno)</w:t>
      </w:r>
    </w:p>
    <w:p w14:paraId="030321E9" w14:textId="77777777" w:rsidR="002573FC" w:rsidRPr="002573FC" w:rsidRDefault="002573FC" w:rsidP="002573FC">
      <w:pPr>
        <w:rPr>
          <w:b/>
          <w:bCs/>
          <w:highlight w:val="yellow"/>
        </w:rPr>
      </w:pPr>
      <w:r w:rsidRPr="002573FC">
        <w:rPr>
          <w:b/>
          <w:bCs/>
          <w:highlight w:val="yellow"/>
        </w:rPr>
        <w:t>Observação interna do planejamento</w:t>
      </w:r>
    </w:p>
    <w:p w14:paraId="2A38888A" w14:textId="77777777" w:rsidR="002573FC" w:rsidRPr="002573FC" w:rsidRDefault="002573FC" w:rsidP="002573FC">
      <w:r w:rsidRPr="002573FC">
        <w:rPr>
          <w:highlight w:val="yellow"/>
        </w:rPr>
        <w:t>Aguardar envio de fotos e vídeos internos para elaboração do material institucional referente à Campanha do Agasalho.</w:t>
      </w:r>
    </w:p>
    <w:p w14:paraId="55DAE602" w14:textId="77777777" w:rsidR="002573FC" w:rsidRPr="002573FC" w:rsidRDefault="00000000" w:rsidP="002573FC">
      <w:r>
        <w:lastRenderedPageBreak/>
        <w:pict w14:anchorId="139ACCD5">
          <v:rect id="_x0000_i1031" style="width:0;height:1.5pt" o:hralign="center" o:hrstd="t" o:hr="t" fillcolor="#a0a0a0" stroked="f"/>
        </w:pict>
      </w:r>
    </w:p>
    <w:p w14:paraId="49B6BD55" w14:textId="77777777" w:rsidR="002573FC" w:rsidRPr="002573FC" w:rsidRDefault="002573FC" w:rsidP="002573FC">
      <w:pPr>
        <w:rPr>
          <w:b/>
          <w:bCs/>
        </w:rPr>
      </w:pPr>
      <w:commentRangeStart w:id="4"/>
      <w:r w:rsidRPr="002573FC">
        <w:rPr>
          <w:b/>
          <w:bCs/>
        </w:rPr>
        <w:t>23/06 (Terça) — Execução civil e cooperação judiciária</w:t>
      </w:r>
      <w:commentRangeEnd w:id="4"/>
      <w:r w:rsidR="00CC50C0" w:rsidRPr="002573FC">
        <w:rPr>
          <w:rStyle w:val="Refdecomentrio"/>
          <w:b/>
          <w:bCs/>
          <w:sz w:val="22"/>
          <w:szCs w:val="22"/>
        </w:rPr>
        <w:commentReference w:id="4"/>
      </w:r>
    </w:p>
    <w:p w14:paraId="028A4138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Card</w:t>
      </w:r>
    </w:p>
    <w:p w14:paraId="0CF4C4EF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Headline</w:t>
      </w:r>
    </w:p>
    <w:p w14:paraId="2533B229" w14:textId="77777777" w:rsidR="002573FC" w:rsidRPr="002573FC" w:rsidRDefault="002573FC" w:rsidP="002573FC">
      <w:r w:rsidRPr="002573FC">
        <w:t>Cooperação judiciária e efetividade da execução civil.</w:t>
      </w:r>
    </w:p>
    <w:p w14:paraId="4B46953E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6DD84B9E" w14:textId="77777777" w:rsidR="002573FC" w:rsidRPr="002573FC" w:rsidRDefault="002573FC" w:rsidP="002573FC">
      <w:r w:rsidRPr="002573FC">
        <w:t>A cooperação entre órgãos do Judiciário e sistemas integrados vem ampliando a efetividade da execução civil e da recuperação de ativos.</w:t>
      </w:r>
      <w:r w:rsidRPr="002573FC">
        <w:br/>
        <w:t>Mecanismos de compartilhamento de informações e integração institucional contribuem para maior eficiência processual e redução de dispersão patrimonial.</w:t>
      </w:r>
      <w:r w:rsidRPr="002573FC">
        <w:br/>
        <w:t>A efetividade da execução depende cada vez mais de estratégia, tecnologia e atuação coordenada.</w:t>
      </w:r>
    </w:p>
    <w:p w14:paraId="1DD9D7B3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4934A5B3" w14:textId="77777777" w:rsidR="002573FC" w:rsidRPr="002573FC" w:rsidRDefault="002573FC" w:rsidP="002573FC">
      <w:r w:rsidRPr="002573FC">
        <w:t>#ramaadvogados #execucaocivil #recuperacaodecredito #segurancajuridica #contencioso</w:t>
      </w:r>
    </w:p>
    <w:p w14:paraId="03C59C4C" w14:textId="77777777" w:rsidR="002573FC" w:rsidRPr="002573FC" w:rsidRDefault="00000000" w:rsidP="002573FC">
      <w:r>
        <w:pict w14:anchorId="34B0BA2E">
          <v:rect id="_x0000_i1032" style="width:0;height:1.5pt" o:hralign="center" o:hrstd="t" o:hr="t" fillcolor="#a0a0a0" stroked="f"/>
        </w:pict>
      </w:r>
    </w:p>
    <w:p w14:paraId="4F09C209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24/06 (Quarta) — São João</w:t>
      </w:r>
    </w:p>
    <w:p w14:paraId="4465B67A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Card ou Reels (dependendo do material interno)</w:t>
      </w:r>
    </w:p>
    <w:p w14:paraId="0D162CAE" w14:textId="77777777" w:rsidR="002573FC" w:rsidRPr="002573FC" w:rsidRDefault="002573FC" w:rsidP="002573FC">
      <w:pPr>
        <w:rPr>
          <w:b/>
          <w:bCs/>
          <w:highlight w:val="yellow"/>
        </w:rPr>
      </w:pPr>
      <w:r w:rsidRPr="002573FC">
        <w:rPr>
          <w:b/>
          <w:bCs/>
          <w:highlight w:val="yellow"/>
        </w:rPr>
        <w:t>Observação interna do planejamento</w:t>
      </w:r>
    </w:p>
    <w:p w14:paraId="26BCD831" w14:textId="77777777" w:rsidR="002573FC" w:rsidRPr="002573FC" w:rsidRDefault="002573FC" w:rsidP="002573FC">
      <w:r w:rsidRPr="002573FC">
        <w:rPr>
          <w:highlight w:val="yellow"/>
        </w:rPr>
        <w:t>Aguardar envio de fotos e vídeos internos para elaboração do material institucional de São João.</w:t>
      </w:r>
    </w:p>
    <w:p w14:paraId="35BEA67E" w14:textId="77777777" w:rsidR="002573FC" w:rsidRPr="002573FC" w:rsidRDefault="00000000" w:rsidP="002573FC">
      <w:r>
        <w:pict w14:anchorId="7AE35664">
          <v:rect id="_x0000_i1033" style="width:0;height:1.5pt" o:hralign="center" o:hrstd="t" o:hr="t" fillcolor="#a0a0a0" stroked="f"/>
        </w:pict>
      </w:r>
    </w:p>
    <w:p w14:paraId="6E060FAE" w14:textId="77777777" w:rsidR="002573FC" w:rsidRPr="002573FC" w:rsidRDefault="002573FC" w:rsidP="002573FC">
      <w:pPr>
        <w:rPr>
          <w:b/>
          <w:bCs/>
        </w:rPr>
      </w:pPr>
      <w:commentRangeStart w:id="5"/>
      <w:r w:rsidRPr="002573FC">
        <w:rPr>
          <w:b/>
          <w:bCs/>
        </w:rPr>
        <w:t>25/06 (Quinta) — Crédito estruturado e cenário econômico</w:t>
      </w:r>
    </w:p>
    <w:p w14:paraId="7994733A" w14:textId="77777777" w:rsidR="002573FC" w:rsidRPr="002573FC" w:rsidRDefault="002573FC" w:rsidP="002573FC">
      <w:r w:rsidRPr="002573FC">
        <w:rPr>
          <w:b/>
          <w:bCs/>
        </w:rPr>
        <w:t>Formato:</w:t>
      </w:r>
      <w:r w:rsidRPr="002573FC">
        <w:t xml:space="preserve"> Reels</w:t>
      </w:r>
    </w:p>
    <w:p w14:paraId="4F15835D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Headline (capa)</w:t>
      </w:r>
    </w:p>
    <w:p w14:paraId="075D540A" w14:textId="77777777" w:rsidR="002573FC" w:rsidRPr="002573FC" w:rsidRDefault="002573FC" w:rsidP="002573FC">
      <w:r w:rsidRPr="002573FC">
        <w:t>Crédito estruturado e leitura estratégica do cenário econômico.</w:t>
      </w:r>
    </w:p>
    <w:p w14:paraId="226DC187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Copy</w:t>
      </w:r>
    </w:p>
    <w:p w14:paraId="67A60CDE" w14:textId="77777777" w:rsidR="002573FC" w:rsidRPr="002573FC" w:rsidRDefault="002573FC" w:rsidP="002573FC">
      <w:r w:rsidRPr="002573FC">
        <w:t>O ambiente econômico influencia diretamente a dinâmica das operações de crédito e a gestão de risco das instituições financeiras.</w:t>
      </w:r>
      <w:r w:rsidRPr="002573FC">
        <w:br/>
        <w:t>Cenários de volatilidade exigem análise técnica, previsibilidade regulatória e estruturas jurídicas preparadas para decisões estratégicas.</w:t>
      </w:r>
      <w:r w:rsidRPr="002573FC">
        <w:br/>
        <w:t>Mais do que acompanhar o mercado, é necessário compreender os impactos jurídicos e operacionais de cada movimento econômico.</w:t>
      </w:r>
    </w:p>
    <w:p w14:paraId="68487CA9" w14:textId="77777777" w:rsidR="002573FC" w:rsidRPr="002573FC" w:rsidRDefault="002573FC" w:rsidP="002573FC">
      <w:pPr>
        <w:rPr>
          <w:b/>
          <w:bCs/>
        </w:rPr>
      </w:pPr>
      <w:r w:rsidRPr="002573FC">
        <w:rPr>
          <w:b/>
          <w:bCs/>
        </w:rPr>
        <w:t>Hashtags</w:t>
      </w:r>
    </w:p>
    <w:p w14:paraId="3FE33B55" w14:textId="77777777" w:rsidR="002573FC" w:rsidRPr="002573FC" w:rsidRDefault="002573FC" w:rsidP="002573FC">
      <w:r w:rsidRPr="002573FC">
        <w:t>#ramaadvogados #credito #gestaoderisco #direitobancario #sistemafinanceiro</w:t>
      </w:r>
      <w:commentRangeEnd w:id="5"/>
      <w:r w:rsidR="00EA035D" w:rsidRPr="002573FC">
        <w:rPr>
          <w:rStyle w:val="Refdecomentrio"/>
          <w:sz w:val="22"/>
          <w:szCs w:val="22"/>
        </w:rPr>
        <w:commentReference w:id="5"/>
      </w:r>
    </w:p>
    <w:p w14:paraId="0B6800DA" w14:textId="77777777" w:rsidR="002573FC" w:rsidRPr="002573FC" w:rsidRDefault="00000000" w:rsidP="002573FC">
      <w:r>
        <w:pict w14:anchorId="7E7638CE">
          <v:rect id="_x0000_i1034" style="width:0;height:1.5pt" o:hralign="center" o:hrstd="t" o:hr="t" fillcolor="#a0a0a0" stroked="f"/>
        </w:pict>
      </w:r>
    </w:p>
    <w:p w14:paraId="2FF55DEC" w14:textId="77777777" w:rsidR="002573FC" w:rsidRPr="001E58F9" w:rsidRDefault="002573FC" w:rsidP="002573FC">
      <w:pPr>
        <w:rPr>
          <w:b/>
          <w:bCs/>
        </w:rPr>
      </w:pPr>
      <w:r w:rsidRPr="002573FC">
        <w:rPr>
          <w:b/>
          <w:bCs/>
        </w:rPr>
        <w:lastRenderedPageBreak/>
        <w:t xml:space="preserve">30/06 (Terça) — </w:t>
      </w:r>
      <w:commentRangeStart w:id="6"/>
      <w:r w:rsidRPr="001E58F9">
        <w:rPr>
          <w:b/>
          <w:bCs/>
        </w:rPr>
        <w:t>Governança e decisões estratégicas</w:t>
      </w:r>
    </w:p>
    <w:p w14:paraId="7320FF72" w14:textId="77777777" w:rsidR="002573FC" w:rsidRPr="001E58F9" w:rsidRDefault="002573FC" w:rsidP="002573FC">
      <w:r w:rsidRPr="001E58F9">
        <w:rPr>
          <w:b/>
          <w:bCs/>
        </w:rPr>
        <w:t>Formato:</w:t>
      </w:r>
      <w:r w:rsidRPr="001E58F9">
        <w:t xml:space="preserve"> Card</w:t>
      </w:r>
    </w:p>
    <w:p w14:paraId="53F4BB03" w14:textId="77777777" w:rsidR="002573FC" w:rsidRPr="001E58F9" w:rsidRDefault="002573FC" w:rsidP="002573FC">
      <w:pPr>
        <w:rPr>
          <w:b/>
          <w:bCs/>
        </w:rPr>
      </w:pPr>
      <w:r w:rsidRPr="001E58F9">
        <w:rPr>
          <w:b/>
          <w:bCs/>
        </w:rPr>
        <w:t>Headline</w:t>
      </w:r>
    </w:p>
    <w:p w14:paraId="6EB75301" w14:textId="77777777" w:rsidR="002573FC" w:rsidRPr="001E58F9" w:rsidRDefault="002573FC" w:rsidP="002573FC">
      <w:r w:rsidRPr="001E58F9">
        <w:t>Governança jurídica como suporte à tomada de decisão.</w:t>
      </w:r>
    </w:p>
    <w:p w14:paraId="09F8434E" w14:textId="77777777" w:rsidR="002573FC" w:rsidRPr="001E58F9" w:rsidRDefault="002573FC" w:rsidP="002573FC">
      <w:pPr>
        <w:rPr>
          <w:b/>
          <w:bCs/>
        </w:rPr>
      </w:pPr>
      <w:r w:rsidRPr="001E58F9">
        <w:rPr>
          <w:b/>
          <w:bCs/>
        </w:rPr>
        <w:t>Copy</w:t>
      </w:r>
    </w:p>
    <w:p w14:paraId="143AB738" w14:textId="77777777" w:rsidR="002573FC" w:rsidRPr="001E58F9" w:rsidRDefault="002573FC" w:rsidP="002573FC">
      <w:r w:rsidRPr="001E58F9">
        <w:t>A complexidade das operações empresariais exige estruturas jurídicas alinhadas à estratégia das organizações.</w:t>
      </w:r>
      <w:r w:rsidRPr="001E58F9">
        <w:br/>
        <w:t>Governança jurídica eficiente amplia previsibilidade, fortalece controles internos e contribui para decisões mais seguras em ambientes regulatórios e financeiros complexos.</w:t>
      </w:r>
      <w:r w:rsidRPr="001E58F9">
        <w:br/>
        <w:t>No cenário corporativo atual, estratégia e segurança jurídica são elementos indissociáveis.</w:t>
      </w:r>
    </w:p>
    <w:p w14:paraId="2B939572" w14:textId="77777777" w:rsidR="002573FC" w:rsidRPr="001E58F9" w:rsidRDefault="002573FC" w:rsidP="002573FC">
      <w:pPr>
        <w:rPr>
          <w:b/>
          <w:bCs/>
        </w:rPr>
      </w:pPr>
      <w:r w:rsidRPr="001E58F9">
        <w:rPr>
          <w:b/>
          <w:bCs/>
        </w:rPr>
        <w:t>Hashtags</w:t>
      </w:r>
    </w:p>
    <w:p w14:paraId="57D8EF6F" w14:textId="77777777" w:rsidR="002573FC" w:rsidRPr="001E58F9" w:rsidRDefault="002573FC" w:rsidP="002573FC">
      <w:r w:rsidRPr="001E58F9">
        <w:t>#ramaadvogados #governanca #segurancajuridica #estrategia #direitobancario</w:t>
      </w:r>
      <w:commentRangeEnd w:id="6"/>
      <w:r w:rsidR="001E58F9" w:rsidRPr="001E58F9">
        <w:rPr>
          <w:rStyle w:val="Refdecomentrio"/>
          <w:sz w:val="22"/>
          <w:szCs w:val="22"/>
        </w:rPr>
        <w:commentReference w:id="6"/>
      </w:r>
    </w:p>
    <w:sectPr w:rsidR="002573FC" w:rsidRPr="001E58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Daniela Silveira" w:date="2026-05-21T16:47:00Z" w:initials="DS">
    <w:p w14:paraId="05C7A20F" w14:textId="77777777" w:rsidR="00CC50C0" w:rsidRDefault="004D439A" w:rsidP="00CC50C0">
      <w:pPr>
        <w:pStyle w:val="Textodecomentrio"/>
      </w:pPr>
      <w:r>
        <w:rPr>
          <w:rStyle w:val="Refdecomentrio"/>
        </w:rPr>
        <w:annotationRef/>
      </w:r>
      <w:r w:rsidR="00CC50C0">
        <w:t>Postar este carrossel no dia 23/06 e no dia 02/06 postar:</w:t>
      </w:r>
      <w:r w:rsidR="00CC50C0">
        <w:br/>
      </w:r>
      <w:r w:rsidR="00CC50C0">
        <w:br/>
        <w:t>Automação jurídica também exige controle e confiabilidade.</w:t>
      </w:r>
      <w:r w:rsidR="00CC50C0">
        <w:br/>
      </w:r>
    </w:p>
    <w:p w14:paraId="56A0D517" w14:textId="77777777" w:rsidR="00CC50C0" w:rsidRDefault="00CC50C0" w:rsidP="00CC50C0">
      <w:pPr>
        <w:pStyle w:val="Textodecomentrio"/>
      </w:pPr>
      <w:r>
        <w:t>Discussões recentes sobre “prompt injection” no Judiciário reforçam um tema cada vez mais relevante nas operações jurídicas: sistemas baseados em IA também estão sujeitos a falhas, manipulações e riscos de confiabilidade.</w:t>
      </w:r>
    </w:p>
    <w:p w14:paraId="731BC3AC" w14:textId="77777777" w:rsidR="00CC50C0" w:rsidRDefault="00CC50C0" w:rsidP="00CC50C0">
      <w:pPr>
        <w:pStyle w:val="Textodecomentrio"/>
      </w:pPr>
      <w:r>
        <w:t>Em operações jurídicas de grande volume, governança tecnológica deixa de ser apenas pauta de inovação e passa a integrar a gestão de risco operacional.</w:t>
      </w:r>
    </w:p>
    <w:p w14:paraId="0B2E820B" w14:textId="77777777" w:rsidR="00CC50C0" w:rsidRDefault="00CC50C0" w:rsidP="00CC50C0">
      <w:pPr>
        <w:pStyle w:val="Textodecomentrio"/>
      </w:pPr>
      <w:r>
        <w:t>No ambiente jurídico, produtividade precisa caminhar junto com validação humana, rastreabilidade das informações e controle dos fluxos automatizados.</w:t>
      </w:r>
    </w:p>
    <w:p w14:paraId="123F8A7C" w14:textId="77777777" w:rsidR="00CC50C0" w:rsidRDefault="00CC50C0" w:rsidP="00CC50C0">
      <w:pPr>
        <w:pStyle w:val="Textodecomentrio"/>
      </w:pPr>
      <w:r>
        <w:t>Tecnologia aplicada ao Direito exige eficiência, mas também previsibilidade e segurança operacional.</w:t>
      </w:r>
      <w:r>
        <w:br/>
      </w:r>
    </w:p>
    <w:p w14:paraId="3755972A" w14:textId="77777777" w:rsidR="00CC50C0" w:rsidRDefault="00CC50C0" w:rsidP="00CC50C0">
      <w:pPr>
        <w:pStyle w:val="Textodecomentrio"/>
      </w:pPr>
      <w:r>
        <w:t>#RamaAdvogados #TecnologiaJuridica #LegalOperations #InteligenciaArtificial #Governanca #EficiênciaOperacional</w:t>
      </w:r>
    </w:p>
  </w:comment>
  <w:comment w:id="1" w:author="Daniela Silveira" w:date="2026-05-21T17:17:00Z" w:initials="DS">
    <w:p w14:paraId="11A229F4" w14:textId="4CE508FF" w:rsidR="00A12714" w:rsidRDefault="00AE2EC0" w:rsidP="00A12714">
      <w:pPr>
        <w:pStyle w:val="Textodecomentrio"/>
      </w:pPr>
      <w:r>
        <w:rPr>
          <w:rStyle w:val="Refdecomentrio"/>
        </w:rPr>
        <w:annotationRef/>
      </w:r>
      <w:r w:rsidR="00A12714">
        <w:t>Substituir por:</w:t>
      </w:r>
      <w:r w:rsidR="00A12714">
        <w:br/>
      </w:r>
      <w:r w:rsidR="00A12714">
        <w:br/>
        <w:t>Na Rama, sustentabilidade também passa por pequenas decisões que geram impacto coletivo.</w:t>
      </w:r>
    </w:p>
    <w:p w14:paraId="15304238" w14:textId="77777777" w:rsidR="00A12714" w:rsidRDefault="00A12714" w:rsidP="00A12714">
      <w:pPr>
        <w:pStyle w:val="Textodecomentrio"/>
      </w:pPr>
      <w:r>
        <w:t>Ao longo do ano, promovemos ações internas voltadas à responsabilidade social e ambiental, incentivando a participação dos colaboradores em campanhas de arrecadação, reciclagem e apoio a instituições da comunidade.</w:t>
      </w:r>
    </w:p>
    <w:p w14:paraId="77692A3E" w14:textId="77777777" w:rsidR="00A12714" w:rsidRDefault="00A12714" w:rsidP="00A12714">
      <w:pPr>
        <w:pStyle w:val="Textodecomentrio"/>
      </w:pPr>
      <w:r>
        <w:t>Mais do que discurso, acreditamos em iniciativas possíveis, consistentes e conectadas à nossa cultura organizacional.</w:t>
      </w:r>
    </w:p>
    <w:p w14:paraId="18868CCE" w14:textId="77777777" w:rsidR="00A12714" w:rsidRDefault="00A12714" w:rsidP="00A12714">
      <w:pPr>
        <w:pStyle w:val="Textodecomentrio"/>
      </w:pPr>
      <w:r>
        <w:t>ESG também se constrói no dia a dia, com responsabilidade, engajamento e compromisso institucional.</w:t>
      </w:r>
    </w:p>
    <w:p w14:paraId="7CD46D1C" w14:textId="77777777" w:rsidR="00A12714" w:rsidRDefault="00A12714" w:rsidP="00A12714">
      <w:pPr>
        <w:pStyle w:val="Textodecomentrio"/>
      </w:pPr>
    </w:p>
    <w:p w14:paraId="5FCFAFA7" w14:textId="77777777" w:rsidR="00A12714" w:rsidRDefault="00A12714" w:rsidP="00A12714">
      <w:pPr>
        <w:pStyle w:val="Textodecomentrio"/>
      </w:pPr>
      <w:r>
        <w:t>#ramaadvogados #ESG #sustentabilidade #governanca #responsabilidadesocial #culturaorganizacional</w:t>
      </w:r>
    </w:p>
  </w:comment>
  <w:comment w:id="2" w:author="Daniela Silveira" w:date="2026-05-21T17:25:00Z" w:initials="DS">
    <w:p w14:paraId="328C0BEB" w14:textId="77777777" w:rsidR="00885401" w:rsidRDefault="00AE2EC0" w:rsidP="00885401">
      <w:pPr>
        <w:pStyle w:val="Textodecomentrio"/>
      </w:pPr>
      <w:r>
        <w:rPr>
          <w:rStyle w:val="Refdecomentrio"/>
        </w:rPr>
        <w:annotationRef/>
      </w:r>
      <w:r w:rsidR="00885401">
        <w:t xml:space="preserve">Trocar por: </w:t>
      </w:r>
    </w:p>
    <w:p w14:paraId="41B1F8C2" w14:textId="77777777" w:rsidR="00885401" w:rsidRDefault="00885401" w:rsidP="00885401">
      <w:pPr>
        <w:pStyle w:val="Textodecomentrio"/>
      </w:pPr>
      <w:r>
        <w:br/>
        <w:t>Crédito rural, regulação ESG e segurança jurídica.</w:t>
      </w:r>
      <w:r>
        <w:br/>
      </w:r>
    </w:p>
    <w:p w14:paraId="63A101C4" w14:textId="77777777" w:rsidR="00885401" w:rsidRDefault="00885401" w:rsidP="00885401">
      <w:pPr>
        <w:pStyle w:val="Textodecomentrio"/>
      </w:pPr>
      <w:r>
        <w:t>Os debates recentes no STF e no Legislativo sobre critérios ESG aplicados ao crédito rural reforçam a importância da previsibilidade regulatória para as operações financeiras e para a gestão de risco das instituições de crédito.</w:t>
      </w:r>
    </w:p>
    <w:p w14:paraId="32CDAD7F" w14:textId="77777777" w:rsidR="00885401" w:rsidRDefault="00885401" w:rsidP="00885401">
      <w:pPr>
        <w:pStyle w:val="Textodecomentrio"/>
      </w:pPr>
      <w:r>
        <w:t>Em operações bancárias de grande escala, segurança jurídica e clareza regulatória são fatores essenciais para análise de crédito, conformidade e estabilidade operacional.</w:t>
      </w:r>
    </w:p>
    <w:p w14:paraId="1785AD31" w14:textId="77777777" w:rsidR="00885401" w:rsidRDefault="00885401" w:rsidP="00885401">
      <w:pPr>
        <w:pStyle w:val="Textodecomentrio"/>
      </w:pPr>
      <w:r>
        <w:t>O cenário também evidencia como governança, critérios regulatórios e sustentabilidade vêm se integrando cada vez mais às estruturas de concessão de crédito e gestão de risco no mercado financeiro.</w:t>
      </w:r>
    </w:p>
    <w:p w14:paraId="7E51F249" w14:textId="77777777" w:rsidR="00885401" w:rsidRDefault="00885401" w:rsidP="00885401">
      <w:pPr>
        <w:pStyle w:val="Textodecomentrio"/>
      </w:pPr>
      <w:r>
        <w:t>Em ambientes altamente regulados, decisões institucionais dependem de equilíbrio entre conformidade, previsibilidade e segurança jurídica.</w:t>
      </w:r>
      <w:r>
        <w:br/>
      </w:r>
    </w:p>
    <w:p w14:paraId="4E021B95" w14:textId="77777777" w:rsidR="00885401" w:rsidRDefault="00885401" w:rsidP="00885401">
      <w:pPr>
        <w:pStyle w:val="Textodecomentrio"/>
      </w:pPr>
      <w:r>
        <w:t>#RamaAdvogados #CreditoRural #MercadoFinanceiro #Governanca #SegurancaJuridica #ESG</w:t>
      </w:r>
    </w:p>
  </w:comment>
  <w:comment w:id="3" w:author="Daniela Silveira" w:date="2026-05-21T17:35:00Z" w:initials="DS">
    <w:p w14:paraId="1B320C1E" w14:textId="3B118D40" w:rsidR="00A12714" w:rsidRDefault="0088754D" w:rsidP="00A12714">
      <w:pPr>
        <w:pStyle w:val="Textodecomentrio"/>
      </w:pPr>
      <w:r>
        <w:rPr>
          <w:rStyle w:val="Refdecomentrio"/>
        </w:rPr>
        <w:annotationRef/>
      </w:r>
      <w:r w:rsidR="00A12714">
        <w:t>Trocar por:</w:t>
      </w:r>
      <w:r w:rsidR="00A12714">
        <w:br/>
        <w:t>Automação e dados aplicados à operação.</w:t>
      </w:r>
    </w:p>
    <w:p w14:paraId="6A07A620" w14:textId="77777777" w:rsidR="00A12714" w:rsidRDefault="00A12714" w:rsidP="00A12714">
      <w:pPr>
        <w:pStyle w:val="Textodecomentrio"/>
      </w:pPr>
      <w:r>
        <w:br/>
        <w:t>No contencioso de grande volume, eficiência operacional depende de estrutura, integração e inteligência de dados.</w:t>
      </w:r>
    </w:p>
    <w:p w14:paraId="427D018D" w14:textId="77777777" w:rsidR="00A12714" w:rsidRDefault="00A12714" w:rsidP="00A12714">
      <w:pPr>
        <w:pStyle w:val="Textodecomentrio"/>
      </w:pPr>
      <w:r>
        <w:t>Na Rama Advogados, a evolução da controladoria envolve desenvolvimento de BI internos, estruturação de fluxos operacionais, monitoramento de indicadores e automação de rotinas voltadas à gestão estratégica do contencioso.</w:t>
      </w:r>
    </w:p>
    <w:p w14:paraId="50B15597" w14:textId="77777777" w:rsidR="00A12714" w:rsidRDefault="00A12714" w:rsidP="00A12714">
      <w:pPr>
        <w:pStyle w:val="Textodecomentrio"/>
      </w:pPr>
      <w:r>
        <w:t>Mais do que acompanhar números, o uso de dados contribui para:</w:t>
      </w:r>
      <w:r>
        <w:br/>
        <w:t>• maior controle operacional;</w:t>
      </w:r>
      <w:r>
        <w:br/>
        <w:t>• redução de retrabalho;</w:t>
      </w:r>
      <w:r>
        <w:br/>
        <w:t>• previsibilidade;</w:t>
      </w:r>
      <w:r>
        <w:br/>
        <w:t>• apoio à tomada de decisão.</w:t>
      </w:r>
    </w:p>
    <w:p w14:paraId="3E2D53C1" w14:textId="77777777" w:rsidR="00A12714" w:rsidRDefault="00A12714" w:rsidP="00A12714">
      <w:pPr>
        <w:pStyle w:val="Textodecomentrio"/>
      </w:pPr>
      <w:r>
        <w:t>Tecnologia aplicada a recuperação de credito hoje faz parte da sustentação operacional das grandes operações.</w:t>
      </w:r>
    </w:p>
    <w:p w14:paraId="6A4740E0" w14:textId="77777777" w:rsidR="00A12714" w:rsidRDefault="00A12714" w:rsidP="00A12714">
      <w:pPr>
        <w:pStyle w:val="Textodecomentrio"/>
      </w:pPr>
      <w:r>
        <w:t>#RamaAdvogados #LegalOperations #Tecnologia #Controladoria #BI #EficiênciaOperacional</w:t>
      </w:r>
    </w:p>
  </w:comment>
  <w:comment w:id="4" w:author="Daniela Silveira" w:date="2026-05-23T10:29:00Z" w:initials="DS">
    <w:p w14:paraId="12216F3E" w14:textId="77777777" w:rsidR="00CC50C0" w:rsidRDefault="00CC50C0" w:rsidP="00CC50C0">
      <w:pPr>
        <w:pStyle w:val="Textodecomentrio"/>
      </w:pPr>
      <w:r>
        <w:rPr>
          <w:rStyle w:val="Refdecomentrio"/>
        </w:rPr>
        <w:annotationRef/>
      </w:r>
      <w:r>
        <w:t>Substituir por:</w:t>
      </w:r>
      <w:r>
        <w:br/>
      </w:r>
      <w:r>
        <w:br/>
      </w:r>
      <w:r>
        <w:rPr>
          <w:b/>
          <w:bCs/>
        </w:rPr>
        <w:t xml:space="preserve"> Recuperação de crédito e inteligência preditiva</w:t>
      </w:r>
    </w:p>
    <w:p w14:paraId="27B54576" w14:textId="77777777" w:rsidR="00CC50C0" w:rsidRDefault="00CC50C0" w:rsidP="00CC50C0">
      <w:pPr>
        <w:pStyle w:val="Textodecomentrio"/>
      </w:pPr>
      <w:r>
        <w:rPr>
          <w:b/>
          <w:bCs/>
        </w:rPr>
        <w:t>Formato:</w:t>
      </w:r>
      <w:r>
        <w:t xml:space="preserve"> Carrossel</w:t>
      </w:r>
    </w:p>
    <w:p w14:paraId="70369296" w14:textId="77777777" w:rsidR="00CC50C0" w:rsidRDefault="00CC50C0" w:rsidP="00CC50C0">
      <w:pPr>
        <w:pStyle w:val="Textodecomentrio"/>
      </w:pPr>
      <w:r>
        <w:rPr>
          <w:b/>
          <w:bCs/>
        </w:rPr>
        <w:t>Card 1 — Capa</w:t>
      </w:r>
    </w:p>
    <w:p w14:paraId="78A272B5" w14:textId="77777777" w:rsidR="00CC50C0" w:rsidRDefault="00CC50C0" w:rsidP="00CC50C0">
      <w:pPr>
        <w:pStyle w:val="Textodecomentrio"/>
      </w:pPr>
      <w:r>
        <w:t>Inteligência preditiva na recuperação de crédito.</w:t>
      </w:r>
      <w:r>
        <w:br/>
        <w:t>Dados, estratégia e previsibilidade.</w:t>
      </w:r>
    </w:p>
    <w:p w14:paraId="0B179174" w14:textId="77777777" w:rsidR="00CC50C0" w:rsidRDefault="00CC50C0" w:rsidP="00CC50C0">
      <w:pPr>
        <w:pStyle w:val="Textodecomentrio"/>
      </w:pPr>
      <w:r>
        <w:rPr>
          <w:b/>
          <w:bCs/>
        </w:rPr>
        <w:t>Card 2</w:t>
      </w:r>
    </w:p>
    <w:p w14:paraId="2233C0D2" w14:textId="77777777" w:rsidR="00CC50C0" w:rsidRDefault="00CC50C0" w:rsidP="00CC50C0">
      <w:pPr>
        <w:pStyle w:val="Textodecomentrio"/>
      </w:pPr>
      <w:r>
        <w:t>A gestão de carteiras inadimplidas passa por uma transformação orientada por dados e análise preditiva.</w:t>
      </w:r>
    </w:p>
    <w:p w14:paraId="3678FC2D" w14:textId="77777777" w:rsidR="00CC50C0" w:rsidRDefault="00CC50C0" w:rsidP="00CC50C0">
      <w:pPr>
        <w:pStyle w:val="Textodecomentrio"/>
      </w:pPr>
      <w:r>
        <w:rPr>
          <w:b/>
          <w:bCs/>
        </w:rPr>
        <w:t>Card 3</w:t>
      </w:r>
    </w:p>
    <w:p w14:paraId="5A6F138D" w14:textId="77777777" w:rsidR="00CC50C0" w:rsidRDefault="00CC50C0" w:rsidP="00CC50C0">
      <w:pPr>
        <w:pStyle w:val="Textodecomentrio"/>
      </w:pPr>
      <w:r>
        <w:t>1️⃣ Priorização estratégica</w:t>
      </w:r>
      <w:r>
        <w:br/>
        <w:t>Modelos analíticos permitem identificar padrões de comportamento e direcionar ações com maior assertividade.</w:t>
      </w:r>
    </w:p>
    <w:p w14:paraId="724DF3D1" w14:textId="77777777" w:rsidR="00CC50C0" w:rsidRDefault="00CC50C0" w:rsidP="00CC50C0">
      <w:pPr>
        <w:pStyle w:val="Textodecomentrio"/>
      </w:pPr>
      <w:r>
        <w:rPr>
          <w:b/>
          <w:bCs/>
        </w:rPr>
        <w:t>Card 4</w:t>
      </w:r>
    </w:p>
    <w:p w14:paraId="338F92D6" w14:textId="77777777" w:rsidR="00CC50C0" w:rsidRDefault="00CC50C0" w:rsidP="00CC50C0">
      <w:pPr>
        <w:pStyle w:val="Textodecomentrio"/>
      </w:pPr>
      <w:r>
        <w:t>2️⃣ Eficiência operacional</w:t>
      </w:r>
      <w:r>
        <w:br/>
        <w:t>A integração entre jurídico, tecnologia e análise de risco reduz custos e amplia a efetividade da recuperação.</w:t>
      </w:r>
    </w:p>
    <w:p w14:paraId="2600E39A" w14:textId="77777777" w:rsidR="00CC50C0" w:rsidRDefault="00CC50C0" w:rsidP="00CC50C0">
      <w:pPr>
        <w:pStyle w:val="Textodecomentrio"/>
      </w:pPr>
      <w:r>
        <w:rPr>
          <w:b/>
          <w:bCs/>
        </w:rPr>
        <w:t>Card 5 — Encerramento</w:t>
      </w:r>
    </w:p>
    <w:p w14:paraId="0B2845D8" w14:textId="77777777" w:rsidR="00CC50C0" w:rsidRDefault="00CC50C0" w:rsidP="00CC50C0">
      <w:pPr>
        <w:pStyle w:val="Textodecomentrio"/>
      </w:pPr>
      <w:r>
        <w:t>A recuperação de crédito contemporânea exige decisões baseadas em inteligência, previsibilidade e governança.</w:t>
      </w:r>
    </w:p>
    <w:p w14:paraId="230C1A1B" w14:textId="77777777" w:rsidR="00CC50C0" w:rsidRDefault="00CC50C0" w:rsidP="00CC50C0">
      <w:pPr>
        <w:pStyle w:val="Textodecomentrio"/>
      </w:pPr>
      <w:r>
        <w:rPr>
          <w:b/>
          <w:bCs/>
        </w:rPr>
        <w:t>Copy</w:t>
      </w:r>
    </w:p>
    <w:p w14:paraId="22523ED9" w14:textId="77777777" w:rsidR="00CC50C0" w:rsidRDefault="00CC50C0" w:rsidP="00CC50C0">
      <w:pPr>
        <w:pStyle w:val="Textodecomentrio"/>
      </w:pPr>
      <w:r>
        <w:t>A evolução tecnológica vem ampliando a capacidade analítica aplicada à recuperação de crédito e à gestão de carteiras complexas.</w:t>
      </w:r>
      <w:r>
        <w:br/>
        <w:t>Ferramentas de inteligência preditiva permitem leitura mais precisa de cenários, identificação de padrões de comportamento e definição de estratégias mais eficientes.</w:t>
      </w:r>
      <w:r>
        <w:br/>
        <w:t>Mais do que volume processual, o ambiente atual exige capacidade analítica, integração de dados e visão estratégica na condução das operações.</w:t>
      </w:r>
    </w:p>
    <w:p w14:paraId="4841D7C9" w14:textId="77777777" w:rsidR="00CC50C0" w:rsidRDefault="00CC50C0" w:rsidP="00CC50C0">
      <w:pPr>
        <w:pStyle w:val="Textodecomentrio"/>
      </w:pPr>
      <w:r>
        <w:rPr>
          <w:b/>
          <w:bCs/>
        </w:rPr>
        <w:t>Hashtags</w:t>
      </w:r>
    </w:p>
    <w:p w14:paraId="1ED46788" w14:textId="77777777" w:rsidR="00CC50C0" w:rsidRDefault="00CC50C0" w:rsidP="00CC50C0">
      <w:pPr>
        <w:pStyle w:val="Textodecomentrio"/>
      </w:pPr>
      <w:r>
        <w:t>#ramaadvogados #recuperacaodecredito #governanca #inteligenciajuridica #sistemafinanceiro</w:t>
      </w:r>
    </w:p>
  </w:comment>
  <w:comment w:id="5" w:author="Daniela Silveira" w:date="2026-05-21T17:53:00Z" w:initials="DS">
    <w:p w14:paraId="2B191B83" w14:textId="77777777" w:rsidR="00D461D0" w:rsidRDefault="00EA035D" w:rsidP="00D461D0">
      <w:pPr>
        <w:pStyle w:val="Textodecomentrio"/>
      </w:pPr>
      <w:r>
        <w:rPr>
          <w:rStyle w:val="Refdecomentrio"/>
        </w:rPr>
        <w:annotationRef/>
      </w:r>
      <w:r w:rsidR="00D461D0">
        <w:t>Trocar por:</w:t>
      </w:r>
      <w:r w:rsidR="00D461D0">
        <w:br/>
      </w:r>
      <w:r w:rsidR="00D461D0">
        <w:br/>
      </w:r>
      <w:r w:rsidR="00D461D0">
        <w:rPr>
          <w:b/>
          <w:bCs/>
        </w:rPr>
        <w:t>Estrutura do Carrossel (Texto para os Cards)</w:t>
      </w:r>
    </w:p>
    <w:p w14:paraId="7D414AA6" w14:textId="77777777" w:rsidR="00D461D0" w:rsidRDefault="00D461D0" w:rsidP="00D461D0">
      <w:pPr>
        <w:pStyle w:val="Textodecomentrio"/>
        <w:numPr>
          <w:ilvl w:val="0"/>
          <w:numId w:val="4"/>
        </w:numPr>
      </w:pPr>
      <w:r>
        <w:rPr>
          <w:b/>
          <w:bCs/>
        </w:rPr>
        <w:t>Slide 1 (Capa):</w:t>
      </w:r>
      <w:r>
        <w:t xml:space="preserve"> Investigação Patrimonial: TJSP autoriza requisição de dados a administradoras de cartão de crédito.</w:t>
      </w:r>
    </w:p>
    <w:p w14:paraId="4CD9CF3F" w14:textId="77777777" w:rsidR="00D461D0" w:rsidRDefault="00D461D0" w:rsidP="00D461D0">
      <w:pPr>
        <w:pStyle w:val="Textodecomentrio"/>
        <w:numPr>
          <w:ilvl w:val="0"/>
          <w:numId w:val="4"/>
        </w:numPr>
      </w:pPr>
      <w:r>
        <w:rPr>
          <w:b/>
          <w:bCs/>
        </w:rPr>
        <w:t>Slide 2:</w:t>
      </w:r>
      <w:r>
        <w:t xml:space="preserve"> O cenário: Devedores que ostentam capacidade financeira, mas não possuem ativos localizados pelos sistemas tradicionais.</w:t>
      </w:r>
    </w:p>
    <w:p w14:paraId="5AF070FD" w14:textId="77777777" w:rsidR="00D461D0" w:rsidRDefault="00D461D0" w:rsidP="00D461D0">
      <w:pPr>
        <w:pStyle w:val="Textodecomentrio"/>
        <w:numPr>
          <w:ilvl w:val="0"/>
          <w:numId w:val="4"/>
        </w:numPr>
      </w:pPr>
      <w:r>
        <w:rPr>
          <w:b/>
          <w:bCs/>
        </w:rPr>
        <w:t>Slide 3:</w:t>
      </w:r>
      <w:r>
        <w:t xml:space="preserve"> A decisão: Esgotados os meios convencionais, o tribunal validou o acesso a informações de cartões para rastrear o fluxo financeiro do devedor.</w:t>
      </w:r>
    </w:p>
    <w:p w14:paraId="552B703A" w14:textId="77777777" w:rsidR="00D461D0" w:rsidRDefault="00D461D0" w:rsidP="00D461D0">
      <w:pPr>
        <w:pStyle w:val="Textodecomentrio"/>
        <w:numPr>
          <w:ilvl w:val="0"/>
          <w:numId w:val="4"/>
        </w:numPr>
      </w:pPr>
      <w:r>
        <w:rPr>
          <w:b/>
          <w:bCs/>
        </w:rPr>
        <w:t>Slide 4:</w:t>
      </w:r>
      <w:r>
        <w:t xml:space="preserve"> O impacto: Medidas executivas atípicas, com fundamentação técnica e proporcionalidade, trazem efetividade ao contencioso de alta performance.</w:t>
      </w:r>
    </w:p>
    <w:p w14:paraId="7E7D447F" w14:textId="77777777" w:rsidR="00D461D0" w:rsidRDefault="00D461D0" w:rsidP="00D461D0">
      <w:pPr>
        <w:pStyle w:val="Textodecomentrio"/>
        <w:numPr>
          <w:ilvl w:val="0"/>
          <w:numId w:val="4"/>
        </w:numPr>
      </w:pPr>
      <w:r>
        <w:rPr>
          <w:b/>
          <w:bCs/>
        </w:rPr>
        <w:t>Slide 5 (CTA):</w:t>
      </w:r>
      <w:r>
        <w:t xml:space="preserve"> Inteligência jurídica contra a ocultação patrimonial. Conheça nossa atuação em Contencioso Estratégico. (Acesse o link na bio).</w:t>
      </w:r>
    </w:p>
    <w:p w14:paraId="26B9BDC4" w14:textId="77777777" w:rsidR="00D461D0" w:rsidRDefault="00D461D0" w:rsidP="00D461D0">
      <w:pPr>
        <w:pStyle w:val="Textodecomentrio"/>
      </w:pPr>
      <w:r>
        <w:t xml:space="preserve">Copy: </w:t>
      </w:r>
      <w:r>
        <w:br/>
      </w:r>
      <w:r>
        <w:rPr>
          <w:b/>
          <w:bCs/>
        </w:rPr>
        <w:t>Rastreamento de ativos: TJSP autoriza quebra de sigilo junto a operadoras de cartão de crédito.</w:t>
      </w:r>
    </w:p>
    <w:p w14:paraId="3EB1C4F8" w14:textId="77777777" w:rsidR="00D461D0" w:rsidRDefault="00D461D0" w:rsidP="00D461D0">
      <w:pPr>
        <w:pStyle w:val="Textodecomentrio"/>
      </w:pPr>
      <w:r>
        <w:t>Em processos de execução, encontrar ativos de devedores que utilizam mecanismos de ocultação patrimonial é um dos maiores desafios de instituições financeiras e grandes empresas.</w:t>
      </w:r>
    </w:p>
    <w:p w14:paraId="44DE43D9" w14:textId="77777777" w:rsidR="00D461D0" w:rsidRDefault="00D461D0" w:rsidP="00D461D0">
      <w:pPr>
        <w:pStyle w:val="Textodecomentrio"/>
      </w:pPr>
      <w:r>
        <w:t>Uma decisão recente do TJSP validou a requisição de informações a administradoras de cartão de crédito como medida auxiliar de investigação. A decisão foi fundamentada após o esgotamento dos meios tradicionais e diante de claros indícios de capacidade financeira do executado.</w:t>
      </w:r>
    </w:p>
    <w:p w14:paraId="1DDDA8F0" w14:textId="77777777" w:rsidR="00D461D0" w:rsidRDefault="00D461D0" w:rsidP="00D461D0">
      <w:pPr>
        <w:pStyle w:val="Textodecomentrio"/>
      </w:pPr>
      <w:r>
        <w:t>Este precedente chancela o uso de medidas atípicas no contencioso estratégico, trazendo mais ferramentas para combater a inadimplência profissional e conferir efetividade à recuperação de ativos.</w:t>
      </w:r>
    </w:p>
    <w:p w14:paraId="5BA6AF24" w14:textId="77777777" w:rsidR="00D461D0" w:rsidRDefault="00D461D0" w:rsidP="00D461D0">
      <w:pPr>
        <w:pStyle w:val="Textodecomentrio"/>
      </w:pPr>
      <w:r>
        <w:t>O equilíbrio entre rigor técnico e inovação processual é o que garante a segurança jurídica do mercado.</w:t>
      </w:r>
    </w:p>
    <w:p w14:paraId="25346F96" w14:textId="77777777" w:rsidR="00D461D0" w:rsidRDefault="00D461D0" w:rsidP="00D461D0">
      <w:pPr>
        <w:pStyle w:val="Textodecomentrio"/>
      </w:pPr>
      <w:r>
        <w:t>#RamaAdvogados #RecuperacaoDeAtivos #EstrategiaJuridica #FinancasCorporativas #RastreamentoDeBens #DireitoBancário</w:t>
      </w:r>
    </w:p>
  </w:comment>
  <w:comment w:id="6" w:author="Daniela Silveira" w:date="2026-05-23T10:17:00Z" w:initials="DS">
    <w:p w14:paraId="3D8A3910" w14:textId="3D86E57D" w:rsidR="001E58F9" w:rsidRDefault="001E58F9" w:rsidP="001E58F9">
      <w:pPr>
        <w:pStyle w:val="Textodecomentrio"/>
      </w:pPr>
      <w:r>
        <w:rPr>
          <w:rStyle w:val="Refdecomentrio"/>
        </w:rPr>
        <w:annotationRef/>
      </w:r>
      <w:r>
        <w:t>Trocar por:</w:t>
      </w:r>
      <w:r>
        <w:rPr>
          <w:color w:val="EE0000"/>
        </w:rPr>
        <w:br/>
      </w:r>
      <w:r>
        <w:br/>
      </w:r>
      <w:r>
        <w:rPr>
          <w:b/>
          <w:bCs/>
        </w:rPr>
        <w:t>TJSP reforça limites recursais em medidas contra grupo econômico</w:t>
      </w:r>
    </w:p>
    <w:p w14:paraId="7ABBEBBB" w14:textId="77777777" w:rsidR="001E58F9" w:rsidRDefault="001E58F9" w:rsidP="001E58F9">
      <w:pPr>
        <w:pStyle w:val="Textodecomentrio"/>
      </w:pPr>
      <w:r>
        <w:t xml:space="preserve">Formato: escolher </w:t>
      </w:r>
    </w:p>
    <w:p w14:paraId="164F6BBC" w14:textId="77777777" w:rsidR="001E58F9" w:rsidRDefault="001E58F9" w:rsidP="001E58F9">
      <w:pPr>
        <w:pStyle w:val="Textodecomentrio"/>
      </w:pPr>
      <w:r>
        <w:rPr>
          <w:b/>
          <w:bCs/>
        </w:rPr>
        <w:t>Copy</w:t>
      </w:r>
    </w:p>
    <w:p w14:paraId="7FE4B614" w14:textId="77777777" w:rsidR="001E58F9" w:rsidRDefault="001E58F9" w:rsidP="001E58F9">
      <w:pPr>
        <w:pStyle w:val="Textodecomentrio"/>
      </w:pPr>
      <w:r>
        <w:t>Decisão recente do TJSP manteve medidas constritivas e o processamento de incidente de desconsideração da personalidade jurídica em caso envolvendo indícios de integração patrimonial entre empresas.</w:t>
      </w:r>
    </w:p>
    <w:p w14:paraId="042A129B" w14:textId="77777777" w:rsidR="001E58F9" w:rsidRDefault="001E58F9" w:rsidP="001E58F9">
      <w:pPr>
        <w:pStyle w:val="Textodecomentrio"/>
      </w:pPr>
      <w:r>
        <w:t>O Tribunal também reforçou entendimento relevante para o contencioso estratégico: a empresa executada não possui legitimidade para recorrer em defesa de terceiros atingidos pelas medidas de arresto.</w:t>
      </w:r>
    </w:p>
    <w:p w14:paraId="5D18892B" w14:textId="77777777" w:rsidR="001E58F9" w:rsidRDefault="001E58F9" w:rsidP="001E58F9">
      <w:pPr>
        <w:pStyle w:val="Textodecomentrio"/>
      </w:pPr>
      <w:r>
        <w:t>O precedente fortalece os mecanismos de investigação patrimonial e a efetividade da recuperação de crédito em execuções complexas.</w:t>
      </w:r>
    </w:p>
    <w:p w14:paraId="11530DB1" w14:textId="77777777" w:rsidR="001E58F9" w:rsidRDefault="001E58F9" w:rsidP="001E58F9">
      <w:pPr>
        <w:pStyle w:val="Textodecomentrio"/>
      </w:pPr>
      <w:r>
        <w:rPr>
          <w:b/>
          <w:bCs/>
        </w:rPr>
        <w:t>Hashtags</w:t>
      </w:r>
    </w:p>
    <w:p w14:paraId="0A9FFFEF" w14:textId="77777777" w:rsidR="001E58F9" w:rsidRDefault="001E58F9" w:rsidP="001E58F9">
      <w:pPr>
        <w:pStyle w:val="Textodecomentrio"/>
      </w:pPr>
      <w:r>
        <w:t>#RamaAdvogados #RecuperacaoDeCredito #ContenciosoEstrategico #IDPJ #Execucao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755972A" w15:done="0"/>
  <w15:commentEx w15:paraId="5FCFAFA7" w15:done="0"/>
  <w15:commentEx w15:paraId="4E021B95" w15:done="0"/>
  <w15:commentEx w15:paraId="6A4740E0" w15:done="0"/>
  <w15:commentEx w15:paraId="1ED46788" w15:done="0"/>
  <w15:commentEx w15:paraId="25346F96" w15:done="0"/>
  <w15:commentEx w15:paraId="0A9FFFE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9D7991D" w16cex:dateUtc="2026-05-21T19:47:00Z"/>
  <w16cex:commentExtensible w16cex:durableId="65C42033" w16cex:dateUtc="2026-05-21T20:17:00Z"/>
  <w16cex:commentExtensible w16cex:durableId="063B7B18" w16cex:dateUtc="2026-05-21T20:25:00Z"/>
  <w16cex:commentExtensible w16cex:durableId="7BFFF9D0" w16cex:dateUtc="2026-05-21T20:35:00Z"/>
  <w16cex:commentExtensible w16cex:durableId="590A519A" w16cex:dateUtc="2026-05-23T13:29:00Z"/>
  <w16cex:commentExtensible w16cex:durableId="7A77B8E8" w16cex:dateUtc="2026-05-21T20:53:00Z"/>
  <w16cex:commentExtensible w16cex:durableId="07121F5D" w16cex:dateUtc="2026-05-23T13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755972A" w16cid:durableId="09D7991D"/>
  <w16cid:commentId w16cid:paraId="5FCFAFA7" w16cid:durableId="65C42033"/>
  <w16cid:commentId w16cid:paraId="4E021B95" w16cid:durableId="063B7B18"/>
  <w16cid:commentId w16cid:paraId="6A4740E0" w16cid:durableId="7BFFF9D0"/>
  <w16cid:commentId w16cid:paraId="1ED46788" w16cid:durableId="590A519A"/>
  <w16cid:commentId w16cid:paraId="25346F96" w16cid:durableId="7A77B8E8"/>
  <w16cid:commentId w16cid:paraId="0A9FFFEF" w16cid:durableId="07121F5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76D13"/>
    <w:multiLevelType w:val="hybridMultilevel"/>
    <w:tmpl w:val="8C18EAA2"/>
    <w:lvl w:ilvl="0" w:tplc="E12602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1E7D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B86FB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CDAFF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DDE28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7688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744C0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670BE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E98CD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2E5541B6"/>
    <w:multiLevelType w:val="hybridMultilevel"/>
    <w:tmpl w:val="53184D04"/>
    <w:lvl w:ilvl="0" w:tplc="24AC46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D96A9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C504AC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80D611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FC0FF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324866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A983E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7843D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998EE2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34974D25"/>
    <w:multiLevelType w:val="hybridMultilevel"/>
    <w:tmpl w:val="94B2F7EC"/>
    <w:lvl w:ilvl="0" w:tplc="A67C5C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0C433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7C622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7F0C4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B5693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F6CD9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F6A52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696A5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4F084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454C4A26"/>
    <w:multiLevelType w:val="hybridMultilevel"/>
    <w:tmpl w:val="AC62C2C2"/>
    <w:lvl w:ilvl="0" w:tplc="11BA59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602F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914C2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EBC93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D109F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2BE00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43689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04C8C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95C70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36054759">
    <w:abstractNumId w:val="1"/>
  </w:num>
  <w:num w:numId="2" w16cid:durableId="1423335566">
    <w:abstractNumId w:val="3"/>
  </w:num>
  <w:num w:numId="3" w16cid:durableId="1336763116">
    <w:abstractNumId w:val="2"/>
  </w:num>
  <w:num w:numId="4" w16cid:durableId="146434592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niela Silveira">
    <w15:presenceInfo w15:providerId="None" w15:userId="Daniela Silvei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3FC"/>
    <w:rsid w:val="001E58F9"/>
    <w:rsid w:val="002573FC"/>
    <w:rsid w:val="00403A74"/>
    <w:rsid w:val="004D439A"/>
    <w:rsid w:val="0069030E"/>
    <w:rsid w:val="00695FCF"/>
    <w:rsid w:val="00885401"/>
    <w:rsid w:val="0088754D"/>
    <w:rsid w:val="00A12714"/>
    <w:rsid w:val="00AE2EC0"/>
    <w:rsid w:val="00CB2960"/>
    <w:rsid w:val="00CC50C0"/>
    <w:rsid w:val="00D461D0"/>
    <w:rsid w:val="00DE050D"/>
    <w:rsid w:val="00EA035D"/>
    <w:rsid w:val="00F14655"/>
    <w:rsid w:val="00FF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018C"/>
  <w15:chartTrackingRefBased/>
  <w15:docId w15:val="{B8DD4D01-6AFC-422D-9DBA-5FF7A593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3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7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73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7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3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3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3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3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3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73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73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73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73F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3F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3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3F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3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3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7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7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3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7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73F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73F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73F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3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3F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3F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2573F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573F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4D439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D439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D439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D439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D43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ramaadvogados.com.br?utm_source=chatgpt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1059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Carla Zenatti</dc:creator>
  <cp:keywords/>
  <dc:description/>
  <cp:lastModifiedBy>Daniela Silveira</cp:lastModifiedBy>
  <cp:revision>6</cp:revision>
  <dcterms:created xsi:type="dcterms:W3CDTF">2026-05-21T20:36:00Z</dcterms:created>
  <dcterms:modified xsi:type="dcterms:W3CDTF">2026-05-23T13:42:00Z</dcterms:modified>
</cp:coreProperties>
</file>